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81719" w14:textId="77777777" w:rsidR="00FE067E" w:rsidRPr="00AA0C00" w:rsidRDefault="00CD36CF" w:rsidP="00EF6030">
      <w:pPr>
        <w:pStyle w:val="TitlePageOrigin"/>
        <w:rPr>
          <w:color w:val="auto"/>
        </w:rPr>
      </w:pPr>
      <w:r w:rsidRPr="00AA0C00">
        <w:rPr>
          <w:color w:val="auto"/>
        </w:rPr>
        <w:t>WEST virginia legislature</w:t>
      </w:r>
    </w:p>
    <w:p w14:paraId="328AE3D0" w14:textId="09F9C7B2" w:rsidR="00CD36CF" w:rsidRPr="00AA0C00" w:rsidRDefault="00CD36CF" w:rsidP="00EF6030">
      <w:pPr>
        <w:pStyle w:val="TitlePageSession"/>
        <w:rPr>
          <w:color w:val="auto"/>
        </w:rPr>
      </w:pPr>
      <w:r w:rsidRPr="00AA0C00">
        <w:rPr>
          <w:color w:val="auto"/>
        </w:rPr>
        <w:t>20</w:t>
      </w:r>
      <w:r w:rsidR="00670A5F" w:rsidRPr="00AA0C00">
        <w:rPr>
          <w:color w:val="auto"/>
        </w:rPr>
        <w:t>2</w:t>
      </w:r>
      <w:r w:rsidR="00055548" w:rsidRPr="00AA0C00">
        <w:rPr>
          <w:color w:val="auto"/>
        </w:rPr>
        <w:t>1</w:t>
      </w:r>
      <w:r w:rsidRPr="00AA0C00">
        <w:rPr>
          <w:color w:val="auto"/>
        </w:rPr>
        <w:t xml:space="preserve"> regular session</w:t>
      </w:r>
    </w:p>
    <w:p w14:paraId="5308FC64" w14:textId="7E6A3C57" w:rsidR="00757095" w:rsidRPr="00AA0C00" w:rsidRDefault="00CB287B" w:rsidP="00A73BEE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1AB4C8E95DAA448D8864AF27BBD15213"/>
          </w:placeholder>
          <w:text/>
        </w:sdtPr>
        <w:sdtEndPr/>
        <w:sdtContent>
          <w:r w:rsidR="00757095" w:rsidRPr="00AA0C00">
            <w:rPr>
              <w:color w:val="auto"/>
            </w:rPr>
            <w:t>Introduced</w:t>
          </w:r>
        </w:sdtContent>
      </w:sdt>
    </w:p>
    <w:p w14:paraId="37E1039E" w14:textId="5D70D82B" w:rsidR="00CD36CF" w:rsidRPr="00AA0C00" w:rsidRDefault="00CB287B" w:rsidP="00EF6030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89E8A4F4356F4687A0FDCAD12E1A5E9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D46A20" w:rsidRPr="00AA0C00">
            <w:rPr>
              <w:color w:val="auto"/>
            </w:rPr>
            <w:t>Senate</w:t>
          </w:r>
        </w:sdtContent>
      </w:sdt>
      <w:r w:rsidR="00303684" w:rsidRPr="00AA0C00">
        <w:rPr>
          <w:color w:val="auto"/>
        </w:rPr>
        <w:t xml:space="preserve"> </w:t>
      </w:r>
      <w:r w:rsidR="00CD36CF" w:rsidRPr="00AA0C00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98156DEB7509442D8ABFEA7101818C19"/>
          </w:placeholder>
          <w:text/>
        </w:sdtPr>
        <w:sdtEndPr/>
        <w:sdtContent>
          <w:r w:rsidR="0065298B">
            <w:rPr>
              <w:color w:val="auto"/>
            </w:rPr>
            <w:t>527</w:t>
          </w:r>
        </w:sdtContent>
      </w:sdt>
    </w:p>
    <w:p w14:paraId="183FD084" w14:textId="7D855E60" w:rsidR="00757095" w:rsidRPr="00AA0C00" w:rsidRDefault="00D46A20" w:rsidP="00757095">
      <w:pPr>
        <w:pStyle w:val="References"/>
        <w:rPr>
          <w:smallCaps/>
          <w:color w:val="auto"/>
        </w:rPr>
      </w:pPr>
      <w:r w:rsidRPr="00AA0C00">
        <w:rPr>
          <w:smallCaps/>
          <w:color w:val="auto"/>
        </w:rPr>
        <w:t>By Senat</w:t>
      </w:r>
      <w:r w:rsidR="00757095" w:rsidRPr="00AA0C00">
        <w:rPr>
          <w:smallCaps/>
          <w:color w:val="auto"/>
        </w:rPr>
        <w:t>o</w:t>
      </w:r>
      <w:r w:rsidR="00055548" w:rsidRPr="00AA0C00">
        <w:rPr>
          <w:smallCaps/>
          <w:color w:val="auto"/>
        </w:rPr>
        <w:t>r</w:t>
      </w:r>
      <w:r w:rsidR="00757095" w:rsidRPr="00AA0C00">
        <w:rPr>
          <w:smallCaps/>
          <w:color w:val="auto"/>
        </w:rPr>
        <w:t xml:space="preserve"> Swope</w:t>
      </w:r>
      <w:r w:rsidR="003C3DF9" w:rsidRPr="00AA0C00">
        <w:rPr>
          <w:smallCaps/>
          <w:color w:val="auto"/>
        </w:rPr>
        <w:t xml:space="preserve"> </w:t>
      </w:r>
    </w:p>
    <w:p w14:paraId="24105D17" w14:textId="3705E968" w:rsidR="00757095" w:rsidRPr="00AA0C00" w:rsidRDefault="00757095" w:rsidP="00D6572F">
      <w:pPr>
        <w:pStyle w:val="References"/>
        <w:rPr>
          <w:color w:val="auto"/>
        </w:rPr>
      </w:pPr>
      <w:r w:rsidRPr="00AA0C00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47A63E125A74F31885990F4B818F4BC"/>
          </w:placeholder>
          <w:text w:multiLine="1"/>
        </w:sdtPr>
        <w:sdtEndPr/>
        <w:sdtContent>
          <w:r w:rsidR="0065298B" w:rsidRPr="0065298B">
            <w:rPr>
              <w:color w:val="auto"/>
            </w:rPr>
            <w:t>Introduced March 2, 2021; referred</w:t>
          </w:r>
          <w:r w:rsidR="0065298B" w:rsidRPr="0065298B">
            <w:rPr>
              <w:color w:val="auto"/>
            </w:rPr>
            <w:br/>
            <w:t>to the Committee on</w:t>
          </w:r>
          <w:r w:rsidR="00CB287B">
            <w:rPr>
              <w:color w:val="auto"/>
            </w:rPr>
            <w:t xml:space="preserve"> the Judiciary</w:t>
          </w:r>
        </w:sdtContent>
      </w:sdt>
      <w:r w:rsidRPr="00AA0C00">
        <w:rPr>
          <w:color w:val="auto"/>
        </w:rPr>
        <w:t>]</w:t>
      </w:r>
    </w:p>
    <w:p w14:paraId="6BA3C607" w14:textId="416A26DA" w:rsidR="00757095" w:rsidRPr="00AA0C00" w:rsidRDefault="00757095" w:rsidP="00757095">
      <w:pPr>
        <w:pStyle w:val="References"/>
        <w:rPr>
          <w:color w:val="auto"/>
        </w:rPr>
      </w:pPr>
    </w:p>
    <w:p w14:paraId="60444D63" w14:textId="6B75AC50" w:rsidR="00937EFE" w:rsidRPr="00AA0C00" w:rsidRDefault="00937EFE" w:rsidP="00937EFE">
      <w:pPr>
        <w:pStyle w:val="TitleSection"/>
        <w:rPr>
          <w:color w:val="auto"/>
        </w:rPr>
      </w:pPr>
      <w:r w:rsidRPr="00AA0C00">
        <w:rPr>
          <w:color w:val="auto"/>
        </w:rPr>
        <w:lastRenderedPageBreak/>
        <w:t>A BILL to amend the Code of West Virginia, 1931, as amended, by adding thereto a new article, designated §21-5</w:t>
      </w:r>
      <w:r w:rsidR="00FC2F44" w:rsidRPr="00AA0C00">
        <w:rPr>
          <w:color w:val="auto"/>
        </w:rPr>
        <w:t>I</w:t>
      </w:r>
      <w:r w:rsidRPr="00AA0C00">
        <w:rPr>
          <w:color w:val="auto"/>
        </w:rPr>
        <w:t>-1, §21-5</w:t>
      </w:r>
      <w:r w:rsidR="00FC2F44" w:rsidRPr="00AA0C00">
        <w:rPr>
          <w:color w:val="auto"/>
        </w:rPr>
        <w:t>I</w:t>
      </w:r>
      <w:r w:rsidRPr="00AA0C00">
        <w:rPr>
          <w:color w:val="auto"/>
        </w:rPr>
        <w:t>-2, §21-5</w:t>
      </w:r>
      <w:r w:rsidR="00FC2F44" w:rsidRPr="00AA0C00">
        <w:rPr>
          <w:color w:val="auto"/>
        </w:rPr>
        <w:t>I</w:t>
      </w:r>
      <w:r w:rsidRPr="00AA0C00">
        <w:rPr>
          <w:color w:val="auto"/>
        </w:rPr>
        <w:t>-3, and §21-5</w:t>
      </w:r>
      <w:r w:rsidR="00FC2F44" w:rsidRPr="00AA0C00">
        <w:rPr>
          <w:color w:val="auto"/>
        </w:rPr>
        <w:t>I</w:t>
      </w:r>
      <w:r w:rsidRPr="00AA0C00">
        <w:rPr>
          <w:color w:val="auto"/>
        </w:rPr>
        <w:t xml:space="preserve">-4, all relating to prohibiting political subdivisions from enacting certain ordinances, regulations, local policies, local resolutions, or other legal requirements; providing a short title; defining terms; providing that political subdivisions </w:t>
      </w:r>
      <w:r w:rsidR="008076B4" w:rsidRPr="00AA0C00">
        <w:rPr>
          <w:color w:val="auto"/>
        </w:rPr>
        <w:t>may</w:t>
      </w:r>
      <w:r w:rsidRPr="00AA0C00">
        <w:rPr>
          <w:color w:val="auto"/>
        </w:rPr>
        <w:t xml:space="preserve"> not adopt or enforce any ordinance, regulation, local policy, local resolution</w:t>
      </w:r>
      <w:r w:rsidR="002E5068" w:rsidRPr="00AA0C00">
        <w:rPr>
          <w:color w:val="auto"/>
        </w:rPr>
        <w:t>,</w:t>
      </w:r>
      <w:r w:rsidRPr="00AA0C00">
        <w:rPr>
          <w:color w:val="auto"/>
        </w:rPr>
        <w:t xml:space="preserve"> or other legal requirement which regulates information requested, required, or excluded on an application for employment; providing an exception; providing that political subdivisions </w:t>
      </w:r>
      <w:r w:rsidR="008076B4" w:rsidRPr="00AA0C00">
        <w:rPr>
          <w:color w:val="auto"/>
        </w:rPr>
        <w:t>may</w:t>
      </w:r>
      <w:r w:rsidRPr="00AA0C00">
        <w:rPr>
          <w:color w:val="auto"/>
        </w:rPr>
        <w:t xml:space="preserve"> not adopt or enforce any ordinance, regulation, local policy, local resolution</w:t>
      </w:r>
      <w:r w:rsidR="00A73BEE" w:rsidRPr="00AA0C00">
        <w:rPr>
          <w:color w:val="auto"/>
        </w:rPr>
        <w:t>,</w:t>
      </w:r>
      <w:r w:rsidRPr="00AA0C00">
        <w:rPr>
          <w:color w:val="auto"/>
        </w:rPr>
        <w:t xml:space="preserve"> or other legal requirement which requires an employer to pay a wage higher than any applicable state or federal law; providing that political subdivisions </w:t>
      </w:r>
      <w:r w:rsidR="008076B4" w:rsidRPr="00AA0C00">
        <w:rPr>
          <w:color w:val="auto"/>
        </w:rPr>
        <w:t>may</w:t>
      </w:r>
      <w:r w:rsidRPr="00AA0C00">
        <w:rPr>
          <w:color w:val="auto"/>
        </w:rPr>
        <w:t xml:space="preserve"> not adopt or enforce any ordinance, regulation, local policy, local resolution</w:t>
      </w:r>
      <w:r w:rsidR="002E5068" w:rsidRPr="00AA0C00">
        <w:rPr>
          <w:color w:val="auto"/>
        </w:rPr>
        <w:t>,</w:t>
      </w:r>
      <w:r w:rsidRPr="00AA0C00">
        <w:rPr>
          <w:color w:val="auto"/>
        </w:rPr>
        <w:t xml:space="preserve"> or other legal requirement which requires an employer to pay wages or fringe benefits based on a rate prevailing in the locality; providing that political subdivisions </w:t>
      </w:r>
      <w:r w:rsidR="008076B4" w:rsidRPr="00AA0C00">
        <w:rPr>
          <w:color w:val="auto"/>
        </w:rPr>
        <w:t>may</w:t>
      </w:r>
      <w:r w:rsidRPr="00AA0C00">
        <w:rPr>
          <w:color w:val="auto"/>
        </w:rPr>
        <w:t xml:space="preserve"> not adopt or enforce any ordinance, regulation, local policy, local resolution</w:t>
      </w:r>
      <w:r w:rsidR="002E5068" w:rsidRPr="00AA0C00">
        <w:rPr>
          <w:color w:val="auto"/>
        </w:rPr>
        <w:t>,</w:t>
      </w:r>
      <w:r w:rsidRPr="00AA0C00">
        <w:rPr>
          <w:color w:val="auto"/>
        </w:rPr>
        <w:t xml:space="preserve"> or other legal requirement which regulates work stoppage, strike activity, or means by which employees organize; providing that political subdivisions </w:t>
      </w:r>
      <w:r w:rsidR="008076B4" w:rsidRPr="00AA0C00">
        <w:rPr>
          <w:color w:val="auto"/>
        </w:rPr>
        <w:t>may</w:t>
      </w:r>
      <w:r w:rsidRPr="00AA0C00">
        <w:rPr>
          <w:color w:val="auto"/>
        </w:rPr>
        <w:t xml:space="preserve"> not adopt or enforce any ordinance, regulation, local policy, local resolution</w:t>
      </w:r>
      <w:r w:rsidR="002E5068" w:rsidRPr="00AA0C00">
        <w:rPr>
          <w:color w:val="auto"/>
        </w:rPr>
        <w:t>,</w:t>
      </w:r>
      <w:r w:rsidRPr="00AA0C00">
        <w:rPr>
          <w:color w:val="auto"/>
        </w:rPr>
        <w:t xml:space="preserve"> or other legal requirement which requires an employer to provide paid or unpaid leave time; providing that political subdivisions </w:t>
      </w:r>
      <w:r w:rsidR="008076B4" w:rsidRPr="00AA0C00">
        <w:rPr>
          <w:color w:val="auto"/>
        </w:rPr>
        <w:t>may</w:t>
      </w:r>
      <w:r w:rsidRPr="00AA0C00">
        <w:rPr>
          <w:color w:val="auto"/>
        </w:rPr>
        <w:t xml:space="preserve"> not adopt or enforce any ordinance, regulation, local policy, local resolution</w:t>
      </w:r>
      <w:r w:rsidR="002E5068" w:rsidRPr="00AA0C00">
        <w:rPr>
          <w:color w:val="auto"/>
        </w:rPr>
        <w:t>,</w:t>
      </w:r>
      <w:r w:rsidRPr="00AA0C00">
        <w:rPr>
          <w:color w:val="auto"/>
        </w:rPr>
        <w:t xml:space="preserve"> or other legal requirement which requires an employer or its employees to participate in an apprenticeship or apprenticeship training program not required by federal or state law; providing that political subdivisions </w:t>
      </w:r>
      <w:r w:rsidR="008076B4" w:rsidRPr="00AA0C00">
        <w:rPr>
          <w:color w:val="auto"/>
        </w:rPr>
        <w:t>may</w:t>
      </w:r>
      <w:r w:rsidRPr="00AA0C00">
        <w:rPr>
          <w:color w:val="auto"/>
        </w:rPr>
        <w:t xml:space="preserve"> not adopt or enforce any ordinance, regulation, local policy, local resolution</w:t>
      </w:r>
      <w:r w:rsidR="002E5068" w:rsidRPr="00AA0C00">
        <w:rPr>
          <w:color w:val="auto"/>
        </w:rPr>
        <w:t>,</w:t>
      </w:r>
      <w:r w:rsidRPr="00AA0C00">
        <w:rPr>
          <w:color w:val="auto"/>
        </w:rPr>
        <w:t xml:space="preserve"> or other legal requirement which regulates an employee’s hours and scheduling; providing that political subdivisions </w:t>
      </w:r>
      <w:r w:rsidR="008076B4" w:rsidRPr="00AA0C00">
        <w:rPr>
          <w:color w:val="auto"/>
        </w:rPr>
        <w:t>may</w:t>
      </w:r>
      <w:r w:rsidRPr="00AA0C00">
        <w:rPr>
          <w:color w:val="auto"/>
        </w:rPr>
        <w:t xml:space="preserve"> not adopt or enforce any ordinance, regulation, local policy, local resolution</w:t>
      </w:r>
      <w:r w:rsidR="002E5068" w:rsidRPr="00AA0C00">
        <w:rPr>
          <w:color w:val="auto"/>
        </w:rPr>
        <w:t>,</w:t>
      </w:r>
      <w:r w:rsidRPr="00AA0C00">
        <w:rPr>
          <w:color w:val="auto"/>
        </w:rPr>
        <w:t xml:space="preserve"> or other legal requirement which regulates standards or requirements regarding the sale or marketing of consumer merchandise that </w:t>
      </w:r>
      <w:r w:rsidRPr="00AA0C00">
        <w:rPr>
          <w:color w:val="auto"/>
        </w:rPr>
        <w:lastRenderedPageBreak/>
        <w:t>are different from or in addition to state law; providing an exception;</w:t>
      </w:r>
      <w:r w:rsidR="004C2787" w:rsidRPr="00AA0C00">
        <w:rPr>
          <w:color w:val="auto"/>
        </w:rPr>
        <w:t xml:space="preserve"> </w:t>
      </w:r>
      <w:r w:rsidRPr="00AA0C00">
        <w:rPr>
          <w:color w:val="auto"/>
        </w:rPr>
        <w:t xml:space="preserve"> </w:t>
      </w:r>
      <w:r w:rsidR="004C2787" w:rsidRPr="00AA0C00">
        <w:rPr>
          <w:color w:val="auto"/>
        </w:rPr>
        <w:t xml:space="preserve">providing that political subdivisions </w:t>
      </w:r>
      <w:r w:rsidR="008076B4" w:rsidRPr="00AA0C00">
        <w:rPr>
          <w:color w:val="auto"/>
        </w:rPr>
        <w:t>may</w:t>
      </w:r>
      <w:r w:rsidR="004C2787" w:rsidRPr="00AA0C00">
        <w:rPr>
          <w:color w:val="auto"/>
        </w:rPr>
        <w:t xml:space="preserve"> not adopt or enforce any ordinance, regulation, local policy, local resolution</w:t>
      </w:r>
      <w:r w:rsidR="002E5068" w:rsidRPr="00AA0C00">
        <w:rPr>
          <w:color w:val="auto"/>
        </w:rPr>
        <w:t>,</w:t>
      </w:r>
      <w:r w:rsidR="004C2787" w:rsidRPr="00AA0C00">
        <w:rPr>
          <w:color w:val="auto"/>
        </w:rPr>
        <w:t xml:space="preserve"> or other legal requirement which regulates standards of care or conduct of certain professions; </w:t>
      </w:r>
      <w:r w:rsidRPr="00AA0C00">
        <w:rPr>
          <w:color w:val="auto"/>
        </w:rPr>
        <w:t>clarifying effect on prior written agreements; providing that any prohibited ordinance, regulation, local policy, local resolution</w:t>
      </w:r>
      <w:r w:rsidR="002E5068" w:rsidRPr="00AA0C00">
        <w:rPr>
          <w:color w:val="auto"/>
        </w:rPr>
        <w:t>,</w:t>
      </w:r>
      <w:r w:rsidRPr="00AA0C00">
        <w:rPr>
          <w:color w:val="auto"/>
        </w:rPr>
        <w:t xml:space="preserve"> or other legal requirement in effect prior to the effective date is void; providing that the prohibitions do not apply to employees of a political subdivision; and clarifying the effect on the West Virginia </w:t>
      </w:r>
      <w:r w:rsidR="002E5068" w:rsidRPr="00AA0C00">
        <w:rPr>
          <w:color w:val="auto"/>
        </w:rPr>
        <w:t>Alcohol and Drug-</w:t>
      </w:r>
      <w:r w:rsidRPr="00AA0C00">
        <w:rPr>
          <w:color w:val="auto"/>
        </w:rPr>
        <w:t>Free Workplace Act.</w:t>
      </w:r>
    </w:p>
    <w:p w14:paraId="3759B492" w14:textId="77777777" w:rsidR="00D46A20" w:rsidRPr="00AA0C00" w:rsidRDefault="00D46A20" w:rsidP="00D46A20">
      <w:pPr>
        <w:pStyle w:val="EnactingClause"/>
        <w:rPr>
          <w:color w:val="auto"/>
        </w:rPr>
        <w:sectPr w:rsidR="00D46A20" w:rsidRPr="00AA0C00" w:rsidSect="008136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AA0C00">
        <w:rPr>
          <w:color w:val="auto"/>
        </w:rPr>
        <w:t>Be it enacted by the Legislature of West Virginia:</w:t>
      </w:r>
    </w:p>
    <w:p w14:paraId="07710435" w14:textId="0E3D9003" w:rsidR="00D46A20" w:rsidRPr="00AA0C00" w:rsidRDefault="00D46A20" w:rsidP="00D46A20">
      <w:pPr>
        <w:pStyle w:val="ArticleHeading"/>
        <w:rPr>
          <w:color w:val="auto"/>
          <w:u w:val="single"/>
        </w:rPr>
      </w:pPr>
      <w:r w:rsidRPr="00AA0C00">
        <w:rPr>
          <w:color w:val="auto"/>
          <w:u w:val="single"/>
        </w:rPr>
        <w:t>ARTICLE 5</w:t>
      </w:r>
      <w:r w:rsidR="00FC2F44" w:rsidRPr="00AA0C00">
        <w:rPr>
          <w:color w:val="auto"/>
          <w:u w:val="single"/>
        </w:rPr>
        <w:t>I</w:t>
      </w:r>
      <w:r w:rsidRPr="00AA0C00">
        <w:rPr>
          <w:color w:val="auto"/>
          <w:u w:val="single"/>
        </w:rPr>
        <w:t xml:space="preserve">. LOCAL GOVERNMENT LABOR AND CONSUMER MARKETING REGULATORY LIMITATION ACT. </w:t>
      </w:r>
    </w:p>
    <w:p w14:paraId="15BB1D74" w14:textId="4333C323" w:rsidR="00D46A20" w:rsidRPr="00AA0C00" w:rsidRDefault="00D46A20" w:rsidP="00D46A20">
      <w:pPr>
        <w:pStyle w:val="SectionHeading"/>
        <w:rPr>
          <w:color w:val="auto"/>
          <w:u w:val="single"/>
        </w:rPr>
      </w:pPr>
      <w:r w:rsidRPr="00AA0C00">
        <w:rPr>
          <w:color w:val="auto"/>
          <w:u w:val="single"/>
        </w:rPr>
        <w:t>§21-5</w:t>
      </w:r>
      <w:r w:rsidR="00FC2F44" w:rsidRPr="00AA0C00">
        <w:rPr>
          <w:color w:val="auto"/>
          <w:u w:val="single"/>
        </w:rPr>
        <w:t>I</w:t>
      </w:r>
      <w:r w:rsidRPr="00AA0C00">
        <w:rPr>
          <w:color w:val="auto"/>
          <w:u w:val="single"/>
        </w:rPr>
        <w:t xml:space="preserve">-1. Short title. </w:t>
      </w:r>
    </w:p>
    <w:p w14:paraId="4665A775" w14:textId="77777777" w:rsidR="00D46A20" w:rsidRPr="00AA0C00" w:rsidRDefault="00D46A20" w:rsidP="00D46A20">
      <w:pPr>
        <w:pStyle w:val="SectionBody"/>
        <w:rPr>
          <w:color w:val="auto"/>
          <w:u w:val="single"/>
        </w:rPr>
      </w:pPr>
      <w:r w:rsidRPr="00AA0C00">
        <w:rPr>
          <w:color w:val="auto"/>
          <w:u w:val="single"/>
        </w:rPr>
        <w:t xml:space="preserve">This article shall be known and cited as the Local Government Labor and Consumer Marketing Regulatory Limitation Act. </w:t>
      </w:r>
    </w:p>
    <w:p w14:paraId="44D615CF" w14:textId="1571A2A9" w:rsidR="00D46A20" w:rsidRPr="00AA0C00" w:rsidRDefault="00D46A20" w:rsidP="00D46A20">
      <w:pPr>
        <w:pStyle w:val="SectionHeading"/>
        <w:rPr>
          <w:color w:val="auto"/>
          <w:u w:val="single"/>
        </w:rPr>
        <w:sectPr w:rsidR="00D46A20" w:rsidRPr="00AA0C00" w:rsidSect="0081368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A0C00">
        <w:rPr>
          <w:color w:val="auto"/>
          <w:u w:val="single"/>
        </w:rPr>
        <w:t>§21-5</w:t>
      </w:r>
      <w:r w:rsidR="00FC2F44" w:rsidRPr="00AA0C00">
        <w:rPr>
          <w:color w:val="auto"/>
          <w:u w:val="single"/>
        </w:rPr>
        <w:t>I</w:t>
      </w:r>
      <w:r w:rsidRPr="00AA0C00">
        <w:rPr>
          <w:color w:val="auto"/>
          <w:u w:val="single"/>
        </w:rPr>
        <w:t>-2. Definitions.</w:t>
      </w:r>
    </w:p>
    <w:p w14:paraId="640F8C06" w14:textId="77777777" w:rsidR="00D46A20" w:rsidRPr="00AA0C00" w:rsidRDefault="00D46A20" w:rsidP="00D46A20">
      <w:pPr>
        <w:pStyle w:val="SectionBody"/>
        <w:rPr>
          <w:color w:val="auto"/>
          <w:u w:val="single"/>
        </w:rPr>
      </w:pPr>
      <w:r w:rsidRPr="00AA0C00">
        <w:rPr>
          <w:color w:val="auto"/>
          <w:u w:val="single"/>
        </w:rPr>
        <w:t xml:space="preserve">For purposes of this article: </w:t>
      </w:r>
    </w:p>
    <w:p w14:paraId="437BBC9D" w14:textId="2C65452B" w:rsidR="00D46A20" w:rsidRPr="00AA0C00" w:rsidRDefault="00D46A20" w:rsidP="00D46A20">
      <w:pPr>
        <w:pStyle w:val="SectionBody"/>
        <w:rPr>
          <w:color w:val="auto"/>
          <w:u w:val="single"/>
        </w:rPr>
      </w:pPr>
      <w:r w:rsidRPr="00AA0C00">
        <w:rPr>
          <w:color w:val="auto"/>
          <w:u w:val="single"/>
        </w:rPr>
        <w:t>“Consumer merchandise” means merchandise offered for sale or lease, or provided with a sale or lease, primarily but not exclusively for personal, family, or household purposes, and includes any container used for consuming, carrying, or transporting such merchandise.</w:t>
      </w:r>
    </w:p>
    <w:p w14:paraId="7CFFA53A" w14:textId="55F30ED9" w:rsidR="00D46A20" w:rsidRPr="00AA0C00" w:rsidRDefault="00D46A20" w:rsidP="00D46A20">
      <w:pPr>
        <w:pStyle w:val="SectionBody"/>
        <w:rPr>
          <w:color w:val="auto"/>
          <w:u w:val="single"/>
        </w:rPr>
      </w:pPr>
      <w:r w:rsidRPr="00AA0C00">
        <w:rPr>
          <w:color w:val="auto"/>
          <w:u w:val="single"/>
        </w:rPr>
        <w:t>“Container” means a bag, cup, package, container, bottle, or other packaging that is all of the following:</w:t>
      </w:r>
    </w:p>
    <w:p w14:paraId="7672AC3C" w14:textId="3F510315" w:rsidR="00D46A20" w:rsidRPr="00AA0C00" w:rsidRDefault="002E5068" w:rsidP="00D46A20">
      <w:pPr>
        <w:pStyle w:val="SectionBody"/>
        <w:rPr>
          <w:color w:val="auto"/>
          <w:u w:val="single"/>
        </w:rPr>
      </w:pPr>
      <w:r w:rsidRPr="00AA0C00">
        <w:rPr>
          <w:color w:val="auto"/>
          <w:u w:val="single"/>
        </w:rPr>
        <w:t>(</w:t>
      </w:r>
      <w:r w:rsidR="00670A5F" w:rsidRPr="00AA0C00">
        <w:rPr>
          <w:color w:val="auto"/>
          <w:u w:val="single"/>
        </w:rPr>
        <w:t>1</w:t>
      </w:r>
      <w:r w:rsidR="00D46A20" w:rsidRPr="00AA0C00">
        <w:rPr>
          <w:color w:val="auto"/>
          <w:u w:val="single"/>
        </w:rPr>
        <w:t xml:space="preserve">) Designed to be either reusable or single-use; </w:t>
      </w:r>
    </w:p>
    <w:p w14:paraId="284677E7" w14:textId="71D32C11" w:rsidR="00D46A20" w:rsidRPr="00AA0C00" w:rsidRDefault="002E5068" w:rsidP="00D46A20">
      <w:pPr>
        <w:pStyle w:val="SectionBody"/>
        <w:rPr>
          <w:color w:val="auto"/>
          <w:u w:val="single"/>
        </w:rPr>
      </w:pPr>
      <w:r w:rsidRPr="00AA0C00">
        <w:rPr>
          <w:color w:val="auto"/>
          <w:u w:val="single"/>
        </w:rPr>
        <w:t>(</w:t>
      </w:r>
      <w:r w:rsidR="00670A5F" w:rsidRPr="00AA0C00">
        <w:rPr>
          <w:color w:val="auto"/>
          <w:u w:val="single"/>
        </w:rPr>
        <w:t>2</w:t>
      </w:r>
      <w:r w:rsidR="00D46A20" w:rsidRPr="00AA0C00">
        <w:rPr>
          <w:color w:val="auto"/>
          <w:u w:val="single"/>
        </w:rPr>
        <w:t>) Made of cloth, paper, plastic, including foamed or expanded plastic, cardboard, corrugated material, aluminum, glass, or postconsumer recycled or similar material or substrates, including coated, laminated, or multilayer substrates</w:t>
      </w:r>
      <w:r w:rsidR="00670A5F" w:rsidRPr="00AA0C00">
        <w:rPr>
          <w:color w:val="auto"/>
          <w:u w:val="single"/>
        </w:rPr>
        <w:t>; and</w:t>
      </w:r>
    </w:p>
    <w:p w14:paraId="3272A75E" w14:textId="4F9DD392" w:rsidR="00D46A20" w:rsidRPr="00AA0C00" w:rsidRDefault="002E5068" w:rsidP="00D46A20">
      <w:pPr>
        <w:pStyle w:val="SectionBody"/>
        <w:rPr>
          <w:color w:val="auto"/>
          <w:u w:val="single"/>
        </w:rPr>
      </w:pPr>
      <w:r w:rsidRPr="00AA0C00">
        <w:rPr>
          <w:color w:val="auto"/>
          <w:u w:val="single"/>
        </w:rPr>
        <w:lastRenderedPageBreak/>
        <w:t>(</w:t>
      </w:r>
      <w:r w:rsidR="00670A5F" w:rsidRPr="00AA0C00">
        <w:rPr>
          <w:color w:val="auto"/>
          <w:u w:val="single"/>
        </w:rPr>
        <w:t>3</w:t>
      </w:r>
      <w:r w:rsidR="00D46A20" w:rsidRPr="00AA0C00">
        <w:rPr>
          <w:color w:val="auto"/>
          <w:u w:val="single"/>
        </w:rPr>
        <w:t>) Designed for consuming, transporting, or protecting merchandise, food or beverages from or at a food service or retail facility.</w:t>
      </w:r>
    </w:p>
    <w:p w14:paraId="738BA1CE" w14:textId="6BBD739E" w:rsidR="00D46A20" w:rsidRPr="00AA0C00" w:rsidRDefault="00D46A20" w:rsidP="00D46A20">
      <w:pPr>
        <w:pStyle w:val="SectionHeading"/>
        <w:rPr>
          <w:color w:val="auto"/>
          <w:u w:val="single"/>
        </w:rPr>
        <w:sectPr w:rsidR="00D46A20" w:rsidRPr="00AA0C00" w:rsidSect="0081368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AA0C00">
        <w:rPr>
          <w:color w:val="auto"/>
          <w:u w:val="single"/>
        </w:rPr>
        <w:t>§21-5</w:t>
      </w:r>
      <w:r w:rsidR="00FC2F44" w:rsidRPr="00AA0C00">
        <w:rPr>
          <w:color w:val="auto"/>
          <w:u w:val="single"/>
        </w:rPr>
        <w:t>I</w:t>
      </w:r>
      <w:r w:rsidRPr="00AA0C00">
        <w:rPr>
          <w:color w:val="auto"/>
          <w:u w:val="single"/>
        </w:rPr>
        <w:t xml:space="preserve">-3. Prohibited areas of regulation. </w:t>
      </w:r>
    </w:p>
    <w:p w14:paraId="4ECB41D0" w14:textId="4468058B" w:rsidR="00D46A20" w:rsidRPr="00AA0C00" w:rsidRDefault="00D46A20" w:rsidP="00D46A20">
      <w:pPr>
        <w:pStyle w:val="SectionBody"/>
        <w:rPr>
          <w:color w:val="auto"/>
          <w:u w:val="single"/>
        </w:rPr>
      </w:pPr>
      <w:r w:rsidRPr="00AA0C00">
        <w:rPr>
          <w:color w:val="auto"/>
          <w:u w:val="single"/>
        </w:rPr>
        <w:t xml:space="preserve">A political subdivision, as defined in </w:t>
      </w:r>
      <w:r w:rsidRPr="00AA0C00">
        <w:rPr>
          <w:rFonts w:cs="Arial"/>
          <w:color w:val="auto"/>
          <w:u w:val="single"/>
        </w:rPr>
        <w:t>§</w:t>
      </w:r>
      <w:r w:rsidR="00937EFE" w:rsidRPr="00AA0C00">
        <w:rPr>
          <w:color w:val="auto"/>
          <w:u w:val="single"/>
        </w:rPr>
        <w:t>29-12A-3</w:t>
      </w:r>
      <w:r w:rsidRPr="00AA0C00">
        <w:rPr>
          <w:color w:val="auto"/>
          <w:u w:val="single"/>
        </w:rPr>
        <w:t xml:space="preserve"> of this code, </w:t>
      </w:r>
      <w:r w:rsidR="008076B4" w:rsidRPr="00AA0C00">
        <w:rPr>
          <w:color w:val="auto"/>
          <w:u w:val="single"/>
        </w:rPr>
        <w:t>may</w:t>
      </w:r>
      <w:r w:rsidRPr="00AA0C00">
        <w:rPr>
          <w:color w:val="auto"/>
          <w:u w:val="single"/>
        </w:rPr>
        <w:t xml:space="preserve"> not adopt, enforce, or administer an ordinance, regulation, local policy, local resolution</w:t>
      </w:r>
      <w:r w:rsidR="00937EFE" w:rsidRPr="00AA0C00">
        <w:rPr>
          <w:color w:val="auto"/>
          <w:u w:val="single"/>
        </w:rPr>
        <w:t>,</w:t>
      </w:r>
      <w:r w:rsidRPr="00AA0C00">
        <w:rPr>
          <w:color w:val="auto"/>
          <w:u w:val="single"/>
        </w:rPr>
        <w:t xml:space="preserve"> or other legal requirement regarding any of the following specific areas: </w:t>
      </w:r>
    </w:p>
    <w:p w14:paraId="66A8AAA4" w14:textId="0AA404F4" w:rsidR="00D46A20" w:rsidRPr="00AA0C00" w:rsidRDefault="0031672C" w:rsidP="00D46A20">
      <w:pPr>
        <w:pStyle w:val="SectionBody"/>
        <w:rPr>
          <w:color w:val="auto"/>
          <w:u w:val="single"/>
        </w:rPr>
      </w:pPr>
      <w:r w:rsidRPr="00AA0C00">
        <w:rPr>
          <w:color w:val="auto"/>
          <w:u w:val="single"/>
        </w:rPr>
        <w:t>(1</w:t>
      </w:r>
      <w:r w:rsidR="00D46A20" w:rsidRPr="00AA0C00">
        <w:rPr>
          <w:color w:val="auto"/>
          <w:u w:val="single"/>
        </w:rPr>
        <w:t>) Regulating information an employer or potential employer must request, require</w:t>
      </w:r>
      <w:r w:rsidR="002E5068" w:rsidRPr="00AA0C00">
        <w:rPr>
          <w:color w:val="auto"/>
          <w:u w:val="single"/>
        </w:rPr>
        <w:t>,</w:t>
      </w:r>
      <w:r w:rsidR="00D46A20" w:rsidRPr="00AA0C00">
        <w:rPr>
          <w:color w:val="auto"/>
          <w:u w:val="single"/>
        </w:rPr>
        <w:t xml:space="preserve"> or exclude on an application for employment from an employee or a potential employee: </w:t>
      </w:r>
      <w:r w:rsidR="00D46A20" w:rsidRPr="00AA0C00">
        <w:rPr>
          <w:i/>
          <w:color w:val="auto"/>
          <w:u w:val="single"/>
        </w:rPr>
        <w:t>Provided,</w:t>
      </w:r>
      <w:r w:rsidR="00D46A20" w:rsidRPr="00AA0C00">
        <w:rPr>
          <w:color w:val="auto"/>
          <w:u w:val="single"/>
        </w:rPr>
        <w:t xml:space="preserve"> That this section does not proh</w:t>
      </w:r>
      <w:r w:rsidR="00937EFE" w:rsidRPr="00AA0C00">
        <w:rPr>
          <w:color w:val="auto"/>
          <w:u w:val="single"/>
        </w:rPr>
        <w:t xml:space="preserve">ibit an ordinance, local policy, </w:t>
      </w:r>
      <w:r w:rsidR="00D46A20" w:rsidRPr="00AA0C00">
        <w:rPr>
          <w:color w:val="auto"/>
          <w:u w:val="single"/>
        </w:rPr>
        <w:t xml:space="preserve">or local resolution requiring a criminal background check for an employee or potential employee in connection with the receipt of a license or permit from a local governmental body; </w:t>
      </w:r>
    </w:p>
    <w:p w14:paraId="6FA74CDD" w14:textId="3B6AD3D9" w:rsidR="00D46A20" w:rsidRPr="00AA0C00" w:rsidRDefault="00D46A20" w:rsidP="00D46A20">
      <w:pPr>
        <w:pStyle w:val="SectionBody"/>
        <w:rPr>
          <w:color w:val="auto"/>
          <w:u w:val="single"/>
        </w:rPr>
      </w:pPr>
      <w:r w:rsidRPr="00AA0C00">
        <w:rPr>
          <w:color w:val="auto"/>
          <w:u w:val="single"/>
        </w:rPr>
        <w:t>(</w:t>
      </w:r>
      <w:r w:rsidR="0031672C" w:rsidRPr="00AA0C00">
        <w:rPr>
          <w:color w:val="auto"/>
          <w:u w:val="single"/>
        </w:rPr>
        <w:t>2</w:t>
      </w:r>
      <w:r w:rsidRPr="00AA0C00">
        <w:rPr>
          <w:color w:val="auto"/>
          <w:u w:val="single"/>
        </w:rPr>
        <w:t xml:space="preserve">) Requiring an employer to pay to an employee a wage higher than any applicable state or federal law; </w:t>
      </w:r>
    </w:p>
    <w:p w14:paraId="003C9AB9" w14:textId="562CBBDD" w:rsidR="00D46A20" w:rsidRPr="00AA0C00" w:rsidRDefault="0031672C" w:rsidP="00D46A20">
      <w:pPr>
        <w:pStyle w:val="SectionBody"/>
        <w:rPr>
          <w:color w:val="auto"/>
          <w:u w:val="single"/>
        </w:rPr>
      </w:pPr>
      <w:r w:rsidRPr="00AA0C00">
        <w:rPr>
          <w:color w:val="auto"/>
          <w:u w:val="single"/>
        </w:rPr>
        <w:t>(3</w:t>
      </w:r>
      <w:r w:rsidR="00D46A20" w:rsidRPr="00AA0C00">
        <w:rPr>
          <w:color w:val="auto"/>
          <w:u w:val="single"/>
        </w:rPr>
        <w:t xml:space="preserve">) Requiring an employer to pay to an employee a wage or fringe benefit based on wage and fringe benefit rates prevailing in the locality; </w:t>
      </w:r>
    </w:p>
    <w:p w14:paraId="300855FE" w14:textId="7DD1F401" w:rsidR="00D46A20" w:rsidRPr="00AA0C00" w:rsidRDefault="0031672C" w:rsidP="00D46A20">
      <w:pPr>
        <w:pStyle w:val="SectionBody"/>
        <w:rPr>
          <w:color w:val="auto"/>
          <w:u w:val="single"/>
        </w:rPr>
      </w:pPr>
      <w:r w:rsidRPr="00AA0C00">
        <w:rPr>
          <w:color w:val="auto"/>
          <w:u w:val="single"/>
        </w:rPr>
        <w:t>(4</w:t>
      </w:r>
      <w:r w:rsidR="00D46A20" w:rsidRPr="00AA0C00">
        <w:rPr>
          <w:color w:val="auto"/>
          <w:u w:val="single"/>
        </w:rPr>
        <w:t xml:space="preserve">) Regulating work stoppage or strike activity of employers and their employees or the means by which employees may organize; </w:t>
      </w:r>
    </w:p>
    <w:p w14:paraId="4AD7C040" w14:textId="17A3586D" w:rsidR="00D46A20" w:rsidRPr="00AA0C00" w:rsidRDefault="0031672C" w:rsidP="00D46A20">
      <w:pPr>
        <w:pStyle w:val="SectionBody"/>
        <w:rPr>
          <w:color w:val="auto"/>
          <w:u w:val="single"/>
        </w:rPr>
      </w:pPr>
      <w:r w:rsidRPr="00AA0C00">
        <w:rPr>
          <w:color w:val="auto"/>
          <w:u w:val="single"/>
        </w:rPr>
        <w:t>(5</w:t>
      </w:r>
      <w:r w:rsidR="00D46A20" w:rsidRPr="00AA0C00">
        <w:rPr>
          <w:color w:val="auto"/>
          <w:u w:val="single"/>
        </w:rPr>
        <w:t xml:space="preserve">) Requiring an employer to provide to an employee paid or unpaid leave time; </w:t>
      </w:r>
    </w:p>
    <w:p w14:paraId="51F72A58" w14:textId="23BAA339" w:rsidR="00D46A20" w:rsidRPr="00AA0C00" w:rsidRDefault="0031672C" w:rsidP="00D46A20">
      <w:pPr>
        <w:pStyle w:val="SectionBody"/>
        <w:rPr>
          <w:color w:val="auto"/>
          <w:u w:val="single"/>
        </w:rPr>
      </w:pPr>
      <w:r w:rsidRPr="00AA0C00">
        <w:rPr>
          <w:color w:val="auto"/>
          <w:u w:val="single"/>
        </w:rPr>
        <w:t>(6</w:t>
      </w:r>
      <w:r w:rsidR="00D46A20" w:rsidRPr="00AA0C00">
        <w:rPr>
          <w:color w:val="auto"/>
          <w:u w:val="single"/>
        </w:rPr>
        <w:t>)</w:t>
      </w:r>
      <w:r w:rsidR="008076B4" w:rsidRPr="00AA0C00">
        <w:rPr>
          <w:color w:val="auto"/>
          <w:u w:val="single"/>
        </w:rPr>
        <w:t xml:space="preserve"> </w:t>
      </w:r>
      <w:r w:rsidR="00D46A20" w:rsidRPr="00AA0C00">
        <w:rPr>
          <w:color w:val="auto"/>
          <w:u w:val="single"/>
        </w:rPr>
        <w:t xml:space="preserve">Requiring an employer or its employees to participate in any educational apprenticeship or apprenticeship training program that is not required by state or federal law; </w:t>
      </w:r>
    </w:p>
    <w:p w14:paraId="12205CAB" w14:textId="5C838C03" w:rsidR="00D46A20" w:rsidRPr="00AA0C00" w:rsidRDefault="0031672C" w:rsidP="00D46A20">
      <w:pPr>
        <w:pStyle w:val="SectionBody"/>
        <w:rPr>
          <w:color w:val="auto"/>
          <w:u w:val="single"/>
        </w:rPr>
      </w:pPr>
      <w:r w:rsidRPr="00AA0C00">
        <w:rPr>
          <w:color w:val="auto"/>
          <w:u w:val="single"/>
        </w:rPr>
        <w:t>(7</w:t>
      </w:r>
      <w:r w:rsidR="00D46A20" w:rsidRPr="00AA0C00">
        <w:rPr>
          <w:color w:val="auto"/>
          <w:u w:val="single"/>
        </w:rPr>
        <w:t xml:space="preserve">) Regulating hours and scheduling that an employer is required to provide to employees; </w:t>
      </w:r>
    </w:p>
    <w:p w14:paraId="7E8FD8C5" w14:textId="0E6889FB" w:rsidR="00D46A20" w:rsidRPr="00AA0C00" w:rsidRDefault="0031672C" w:rsidP="00D46A20">
      <w:pPr>
        <w:pStyle w:val="SectionBody"/>
        <w:rPr>
          <w:color w:val="auto"/>
          <w:u w:val="single"/>
        </w:rPr>
      </w:pPr>
      <w:r w:rsidRPr="00AA0C00">
        <w:rPr>
          <w:color w:val="auto"/>
          <w:u w:val="single"/>
        </w:rPr>
        <w:t>(8</w:t>
      </w:r>
      <w:r w:rsidR="00D46A20" w:rsidRPr="00AA0C00">
        <w:rPr>
          <w:color w:val="auto"/>
          <w:u w:val="single"/>
        </w:rPr>
        <w:t xml:space="preserve">) Regulating standards or requirements regarding the sale or marketing of consumer merchandise that are different from, or in addition to, any state law: </w:t>
      </w:r>
      <w:r w:rsidR="00D46A20" w:rsidRPr="00AA0C00">
        <w:rPr>
          <w:i/>
          <w:color w:val="auto"/>
          <w:u w:val="single"/>
        </w:rPr>
        <w:t xml:space="preserve">Provided, </w:t>
      </w:r>
      <w:r w:rsidR="00D46A20" w:rsidRPr="00AA0C00">
        <w:rPr>
          <w:color w:val="auto"/>
          <w:u w:val="single"/>
        </w:rPr>
        <w:t>That this section does not prohibit an ordinance, local policy</w:t>
      </w:r>
      <w:r w:rsidR="00937EFE" w:rsidRPr="00AA0C00">
        <w:rPr>
          <w:color w:val="auto"/>
          <w:u w:val="single"/>
        </w:rPr>
        <w:t>,</w:t>
      </w:r>
      <w:r w:rsidR="00D46A20" w:rsidRPr="00AA0C00">
        <w:rPr>
          <w:color w:val="auto"/>
          <w:u w:val="single"/>
        </w:rPr>
        <w:t xml:space="preserve"> or local resolution that limits the hours a business may operate and </w:t>
      </w:r>
      <w:r w:rsidR="008076B4" w:rsidRPr="00AA0C00">
        <w:rPr>
          <w:color w:val="auto"/>
          <w:u w:val="single"/>
        </w:rPr>
        <w:t xml:space="preserve">does </w:t>
      </w:r>
      <w:r w:rsidR="00D46A20" w:rsidRPr="00AA0C00">
        <w:rPr>
          <w:color w:val="auto"/>
          <w:u w:val="single"/>
        </w:rPr>
        <w:t>not apply to city solid waste o</w:t>
      </w:r>
      <w:r w:rsidR="00BB3327" w:rsidRPr="00AA0C00">
        <w:rPr>
          <w:color w:val="auto"/>
          <w:u w:val="single"/>
        </w:rPr>
        <w:t>r recycling collection programs;</w:t>
      </w:r>
      <w:r w:rsidRPr="00AA0C00">
        <w:rPr>
          <w:color w:val="auto"/>
          <w:u w:val="single"/>
        </w:rPr>
        <w:t xml:space="preserve"> or</w:t>
      </w:r>
      <w:r w:rsidR="00D46A20" w:rsidRPr="00AA0C00">
        <w:rPr>
          <w:color w:val="auto"/>
          <w:u w:val="single"/>
        </w:rPr>
        <w:t xml:space="preserve"> </w:t>
      </w:r>
    </w:p>
    <w:p w14:paraId="6F7BF6CC" w14:textId="1EA7CE8B" w:rsidR="005A3A4E" w:rsidRPr="00AA0C00" w:rsidRDefault="0031672C" w:rsidP="00D46A20">
      <w:pPr>
        <w:pStyle w:val="SectionBody"/>
        <w:rPr>
          <w:color w:val="auto"/>
          <w:u w:val="single"/>
        </w:rPr>
      </w:pPr>
      <w:r w:rsidRPr="00AA0C00">
        <w:rPr>
          <w:color w:val="auto"/>
          <w:u w:val="single"/>
        </w:rPr>
        <w:t>(9</w:t>
      </w:r>
      <w:r w:rsidR="005A3A4E" w:rsidRPr="00AA0C00">
        <w:rPr>
          <w:color w:val="auto"/>
          <w:u w:val="single"/>
        </w:rPr>
        <w:t xml:space="preserve">) Regulating standards of care or conduct for any </w:t>
      </w:r>
      <w:r w:rsidR="00BB3327" w:rsidRPr="00AA0C00">
        <w:rPr>
          <w:color w:val="auto"/>
          <w:u w:val="single"/>
        </w:rPr>
        <w:t>profession regulated,</w:t>
      </w:r>
      <w:r w:rsidR="005A3A4E" w:rsidRPr="00AA0C00">
        <w:rPr>
          <w:color w:val="auto"/>
          <w:u w:val="single"/>
        </w:rPr>
        <w:t xml:space="preserve"> licensed</w:t>
      </w:r>
      <w:r w:rsidR="00BB3327" w:rsidRPr="00AA0C00">
        <w:rPr>
          <w:color w:val="auto"/>
          <w:u w:val="single"/>
        </w:rPr>
        <w:t>,</w:t>
      </w:r>
      <w:r w:rsidR="005A3A4E" w:rsidRPr="00AA0C00">
        <w:rPr>
          <w:color w:val="auto"/>
          <w:u w:val="single"/>
        </w:rPr>
        <w:t xml:space="preserve"> or </w:t>
      </w:r>
      <w:r w:rsidR="005A3A4E" w:rsidRPr="00AA0C00">
        <w:rPr>
          <w:color w:val="auto"/>
          <w:u w:val="single"/>
        </w:rPr>
        <w:lastRenderedPageBreak/>
        <w:t>certified by</w:t>
      </w:r>
      <w:r w:rsidR="00BB3327" w:rsidRPr="00AA0C00">
        <w:rPr>
          <w:color w:val="auto"/>
          <w:u w:val="single"/>
        </w:rPr>
        <w:t xml:space="preserve"> </w:t>
      </w:r>
      <w:r w:rsidR="002E5068" w:rsidRPr="00AA0C00">
        <w:rPr>
          <w:color w:val="auto"/>
          <w:u w:val="single"/>
        </w:rPr>
        <w:t>the S</w:t>
      </w:r>
      <w:r w:rsidR="005A3A4E" w:rsidRPr="00AA0C00">
        <w:rPr>
          <w:color w:val="auto"/>
          <w:u w:val="single"/>
        </w:rPr>
        <w:t>tate of West Virginia.</w:t>
      </w:r>
    </w:p>
    <w:p w14:paraId="01B7EC6B" w14:textId="14B162D1" w:rsidR="00D46A20" w:rsidRPr="00AA0C00" w:rsidRDefault="00D46A20" w:rsidP="00D46A20">
      <w:pPr>
        <w:pStyle w:val="SectionHeading"/>
        <w:rPr>
          <w:color w:val="auto"/>
          <w:u w:val="single"/>
        </w:rPr>
        <w:sectPr w:rsidR="00D46A20" w:rsidRPr="00AA0C00" w:rsidSect="0081368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AA0C00">
        <w:rPr>
          <w:color w:val="auto"/>
          <w:u w:val="single"/>
        </w:rPr>
        <w:t>§21-5</w:t>
      </w:r>
      <w:r w:rsidR="00FC2F44" w:rsidRPr="00AA0C00">
        <w:rPr>
          <w:color w:val="auto"/>
          <w:u w:val="single"/>
        </w:rPr>
        <w:t>I</w:t>
      </w:r>
      <w:r w:rsidRPr="00AA0C00">
        <w:rPr>
          <w:color w:val="auto"/>
          <w:u w:val="single"/>
        </w:rPr>
        <w:t xml:space="preserve">-4. Exceptions; applicability. </w:t>
      </w:r>
    </w:p>
    <w:p w14:paraId="7110A93E" w14:textId="2733806B" w:rsidR="00D46A20" w:rsidRPr="00AA0C00" w:rsidRDefault="00D46A20" w:rsidP="008076B4">
      <w:pPr>
        <w:pStyle w:val="SectionBody"/>
        <w:rPr>
          <w:color w:val="auto"/>
          <w:u w:val="single"/>
        </w:rPr>
      </w:pPr>
      <w:r w:rsidRPr="00AA0C00">
        <w:rPr>
          <w:color w:val="auto"/>
          <w:u w:val="single"/>
        </w:rPr>
        <w:t xml:space="preserve">(a) Nothing in this article </w:t>
      </w:r>
      <w:r w:rsidR="008076B4" w:rsidRPr="00AA0C00">
        <w:rPr>
          <w:color w:val="auto"/>
          <w:u w:val="single"/>
        </w:rPr>
        <w:t>may</w:t>
      </w:r>
      <w:r w:rsidRPr="00AA0C00">
        <w:rPr>
          <w:color w:val="auto"/>
          <w:u w:val="single"/>
        </w:rPr>
        <w:t xml:space="preserve"> be construed to prohibit a political subdivision from enforcing a written agreement voluntarily entered into and in effect prior to the effective date of this article. </w:t>
      </w:r>
    </w:p>
    <w:p w14:paraId="2739A381" w14:textId="77777777" w:rsidR="00D46A20" w:rsidRPr="00AA0C00" w:rsidRDefault="00D46A20" w:rsidP="00D46A20">
      <w:pPr>
        <w:pStyle w:val="SectionBody"/>
        <w:rPr>
          <w:color w:val="auto"/>
          <w:u w:val="single"/>
        </w:rPr>
      </w:pPr>
      <w:r w:rsidRPr="00AA0C00">
        <w:rPr>
          <w:color w:val="auto"/>
          <w:u w:val="single"/>
        </w:rPr>
        <w:t xml:space="preserve">(b) Any ordinance, regulation, local policy, local resolution, or other legal requirement enacted or adopted prior to the effective date of this article, including those enacted or adopted </w:t>
      </w:r>
    </w:p>
    <w:p w14:paraId="69425D75" w14:textId="4EDCB6C4" w:rsidR="00D46A20" w:rsidRPr="00AA0C00" w:rsidRDefault="00D46A20" w:rsidP="00D46A20">
      <w:pPr>
        <w:pStyle w:val="SectionBody"/>
        <w:ind w:firstLine="0"/>
        <w:rPr>
          <w:color w:val="auto"/>
          <w:u w:val="single"/>
        </w:rPr>
      </w:pPr>
      <w:r w:rsidRPr="00AA0C00">
        <w:rPr>
          <w:color w:val="auto"/>
          <w:u w:val="single"/>
        </w:rPr>
        <w:t xml:space="preserve">pursuant to §8-1-5a of this code, that would be prohibited under </w:t>
      </w:r>
      <w:r w:rsidRPr="00AA0C00">
        <w:rPr>
          <w:rFonts w:cs="Arial"/>
          <w:color w:val="auto"/>
          <w:u w:val="single"/>
        </w:rPr>
        <w:t>§</w:t>
      </w:r>
      <w:r w:rsidRPr="00AA0C00">
        <w:rPr>
          <w:color w:val="auto"/>
          <w:u w:val="single"/>
        </w:rPr>
        <w:t>21-5</w:t>
      </w:r>
      <w:r w:rsidR="00FC2F44" w:rsidRPr="00AA0C00">
        <w:rPr>
          <w:color w:val="auto"/>
          <w:u w:val="single"/>
        </w:rPr>
        <w:t>I</w:t>
      </w:r>
      <w:r w:rsidRPr="00AA0C00">
        <w:rPr>
          <w:color w:val="auto"/>
          <w:u w:val="single"/>
        </w:rPr>
        <w:t xml:space="preserve">-3 of this code is void upon the effective date of this article. </w:t>
      </w:r>
    </w:p>
    <w:p w14:paraId="32084A4A" w14:textId="3930B318" w:rsidR="00D46A20" w:rsidRPr="00AA0C00" w:rsidRDefault="00D46A20" w:rsidP="00D46A20">
      <w:pPr>
        <w:pStyle w:val="SectionBody"/>
        <w:rPr>
          <w:color w:val="auto"/>
          <w:u w:val="single"/>
        </w:rPr>
      </w:pPr>
      <w:r w:rsidRPr="00AA0C00">
        <w:rPr>
          <w:color w:val="auto"/>
          <w:u w:val="single"/>
        </w:rPr>
        <w:t xml:space="preserve">(c) </w:t>
      </w:r>
      <w:r w:rsidRPr="00AA0C00">
        <w:rPr>
          <w:rFonts w:cs="Arial"/>
          <w:color w:val="auto"/>
          <w:u w:val="single"/>
        </w:rPr>
        <w:t>§</w:t>
      </w:r>
      <w:r w:rsidRPr="00AA0C00">
        <w:rPr>
          <w:color w:val="auto"/>
          <w:u w:val="single"/>
        </w:rPr>
        <w:t>21-5</w:t>
      </w:r>
      <w:r w:rsidR="00FC2F44" w:rsidRPr="00AA0C00">
        <w:rPr>
          <w:color w:val="auto"/>
          <w:u w:val="single"/>
        </w:rPr>
        <w:t>I</w:t>
      </w:r>
      <w:r w:rsidRPr="00AA0C00">
        <w:rPr>
          <w:color w:val="auto"/>
          <w:u w:val="single"/>
        </w:rPr>
        <w:t xml:space="preserve">-3 of this code does not apply to the employees of a political subdivision. </w:t>
      </w:r>
    </w:p>
    <w:p w14:paraId="25BE584A" w14:textId="6D3A241B" w:rsidR="003C764C" w:rsidRPr="00AA0C00" w:rsidRDefault="00D46A20" w:rsidP="003C764C">
      <w:pPr>
        <w:pStyle w:val="SectionBody"/>
        <w:rPr>
          <w:color w:val="auto"/>
          <w:u w:val="single"/>
        </w:rPr>
      </w:pPr>
      <w:r w:rsidRPr="00AA0C00">
        <w:rPr>
          <w:color w:val="auto"/>
          <w:u w:val="single"/>
        </w:rPr>
        <w:t xml:space="preserve">(d) Nothing in this article </w:t>
      </w:r>
      <w:r w:rsidR="008076B4" w:rsidRPr="00AA0C00">
        <w:rPr>
          <w:color w:val="auto"/>
          <w:u w:val="single"/>
        </w:rPr>
        <w:t>may</w:t>
      </w:r>
      <w:r w:rsidRPr="00AA0C00">
        <w:rPr>
          <w:color w:val="auto"/>
          <w:u w:val="single"/>
        </w:rPr>
        <w:t xml:space="preserve"> be construed as prohibiting or limiting a political subdivision from complying with the West Virginia Alcohol</w:t>
      </w:r>
      <w:r w:rsidR="00C82591" w:rsidRPr="00AA0C00">
        <w:rPr>
          <w:color w:val="auto"/>
          <w:u w:val="single"/>
        </w:rPr>
        <w:t xml:space="preserve"> and Drug-</w:t>
      </w:r>
      <w:r w:rsidR="002E5068" w:rsidRPr="00AA0C00">
        <w:rPr>
          <w:color w:val="auto"/>
          <w:u w:val="single"/>
        </w:rPr>
        <w:t xml:space="preserve">Free Workplace Act, set </w:t>
      </w:r>
      <w:r w:rsidR="002E5068" w:rsidRPr="00AA0C00">
        <w:rPr>
          <w:color w:val="auto"/>
          <w:u w:val="single"/>
        </w:rPr>
        <w:tab/>
        <w:t xml:space="preserve">forth </w:t>
      </w:r>
      <w:r w:rsidRPr="00AA0C00">
        <w:rPr>
          <w:color w:val="auto"/>
          <w:u w:val="single"/>
        </w:rPr>
        <w:t>in</w:t>
      </w:r>
      <w:r w:rsidR="00EB775A" w:rsidRPr="00AA0C00">
        <w:rPr>
          <w:color w:val="auto"/>
          <w:u w:val="single"/>
        </w:rPr>
        <w:t xml:space="preserve"> </w:t>
      </w:r>
      <w:r w:rsidRPr="00AA0C00">
        <w:rPr>
          <w:rFonts w:cs="Arial"/>
          <w:color w:val="auto"/>
          <w:u w:val="single"/>
        </w:rPr>
        <w:t>§</w:t>
      </w:r>
      <w:r w:rsidRPr="00AA0C00">
        <w:rPr>
          <w:color w:val="auto"/>
          <w:u w:val="single"/>
        </w:rPr>
        <w:t xml:space="preserve">21-1d-1 </w:t>
      </w:r>
      <w:r w:rsidRPr="00AA0C00">
        <w:rPr>
          <w:i/>
          <w:color w:val="auto"/>
          <w:u w:val="single"/>
        </w:rPr>
        <w:t>et seq.</w:t>
      </w:r>
      <w:r w:rsidRPr="00AA0C00">
        <w:rPr>
          <w:color w:val="auto"/>
          <w:u w:val="single"/>
        </w:rPr>
        <w:t xml:space="preserve"> of this code, or otherwise requiring similar drug and alcohol policies and testing of a political subdivision’s vendors.</w:t>
      </w:r>
    </w:p>
    <w:p w14:paraId="28F8FE3D" w14:textId="77777777" w:rsidR="003C764C" w:rsidRPr="00AA0C00" w:rsidRDefault="003C764C" w:rsidP="003C764C">
      <w:pPr>
        <w:pStyle w:val="Note"/>
        <w:rPr>
          <w:color w:val="auto"/>
        </w:rPr>
      </w:pPr>
    </w:p>
    <w:p w14:paraId="31451B4A" w14:textId="264B11DC" w:rsidR="003C764C" w:rsidRPr="00AA0C00" w:rsidRDefault="003C764C" w:rsidP="003C764C">
      <w:pPr>
        <w:pStyle w:val="Note"/>
        <w:rPr>
          <w:color w:val="auto"/>
        </w:rPr>
      </w:pPr>
      <w:r w:rsidRPr="00AA0C00">
        <w:rPr>
          <w:color w:val="auto"/>
        </w:rPr>
        <w:t>NOTE: The purpose of this bill is to prohibit political subdivisions from enacting any ordinance, regulation, local policy, local resolution or other legal requirements regulating certain areas of the employer-employee relationship and the sale or marketing of consumer merchandise.</w:t>
      </w:r>
    </w:p>
    <w:p w14:paraId="208C0905" w14:textId="1248DA6A" w:rsidR="003C764C" w:rsidRPr="00AA0C00" w:rsidRDefault="003C764C" w:rsidP="003C764C">
      <w:pPr>
        <w:pStyle w:val="Note"/>
        <w:rPr>
          <w:color w:val="auto"/>
        </w:rPr>
      </w:pPr>
      <w:r w:rsidRPr="00AA0C00">
        <w:rPr>
          <w:color w:val="auto"/>
        </w:rPr>
        <w:t>Strike-throughs indicate language that would be stricken from a heading or the present law and underscoring indicates new language that would be added.</w:t>
      </w:r>
    </w:p>
    <w:p w14:paraId="1C7F61D0" w14:textId="77777777" w:rsidR="00D46A20" w:rsidRPr="00AA0C00" w:rsidRDefault="00D46A20" w:rsidP="00D46A20">
      <w:pPr>
        <w:suppressLineNumbers/>
        <w:rPr>
          <w:rFonts w:eastAsia="Calibri"/>
          <w:color w:val="auto"/>
          <w:sz w:val="24"/>
        </w:rPr>
      </w:pPr>
    </w:p>
    <w:sectPr w:rsidR="00D46A20" w:rsidRPr="00AA0C00" w:rsidSect="0081368A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8DC06" w14:textId="77777777" w:rsidR="00FE3E66" w:rsidRPr="00B844FE" w:rsidRDefault="00FE3E66" w:rsidP="00B844FE">
      <w:r>
        <w:separator/>
      </w:r>
    </w:p>
  </w:endnote>
  <w:endnote w:type="continuationSeparator" w:id="0">
    <w:p w14:paraId="5F0A6387" w14:textId="77777777" w:rsidR="00FE3E66" w:rsidRPr="00B844FE" w:rsidRDefault="00FE3E6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585F4" w14:textId="77777777" w:rsidR="00D46A20" w:rsidRDefault="00D46A20" w:rsidP="00316A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100DD45" w14:textId="77777777" w:rsidR="00D46A20" w:rsidRPr="00D46A20" w:rsidRDefault="00D46A20" w:rsidP="00D46A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31141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136E42" w14:textId="42947551" w:rsidR="0081368A" w:rsidRDefault="008136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8538F6" w14:textId="77777777" w:rsidR="002C35E5" w:rsidRDefault="002C3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40270" w14:textId="77777777" w:rsidR="00FE3E66" w:rsidRPr="00B844FE" w:rsidRDefault="00FE3E66" w:rsidP="00B844FE">
      <w:r>
        <w:separator/>
      </w:r>
    </w:p>
  </w:footnote>
  <w:footnote w:type="continuationSeparator" w:id="0">
    <w:p w14:paraId="2504A41D" w14:textId="77777777" w:rsidR="00FE3E66" w:rsidRPr="00B844FE" w:rsidRDefault="00FE3E6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C434B" w14:textId="77777777" w:rsidR="00D46A20" w:rsidRPr="00D46A20" w:rsidRDefault="00D46A20" w:rsidP="00D46A20">
    <w:pPr>
      <w:pStyle w:val="Header"/>
    </w:pPr>
    <w:r>
      <w:t>CS for SB 458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50857" w14:textId="30454459" w:rsidR="00D46A20" w:rsidRPr="003C764C" w:rsidRDefault="003C764C" w:rsidP="003C764C">
    <w:pPr>
      <w:pStyle w:val="Header"/>
    </w:pPr>
    <w:r>
      <w:rPr>
        <w:color w:val="auto"/>
      </w:rPr>
      <w:t>Intr SB</w:t>
    </w:r>
    <w:r w:rsidR="00A73BEE">
      <w:rPr>
        <w:color w:val="auto"/>
      </w:rPr>
      <w:t xml:space="preserve"> </w:t>
    </w:r>
    <w:r w:rsidR="0065298B">
      <w:rPr>
        <w:color w:val="auto"/>
      </w:rPr>
      <w:t>527</w:t>
    </w:r>
    <w:r>
      <w:rPr>
        <w:color w:val="auto"/>
      </w:rPr>
      <w:tab/>
    </w:r>
    <w:r>
      <w:rPr>
        <w:color w:val="auto"/>
      </w:rPr>
      <w:tab/>
      <w:t>20</w:t>
    </w:r>
    <w:r w:rsidR="00670A5F">
      <w:rPr>
        <w:color w:val="auto"/>
      </w:rPr>
      <w:t>2</w:t>
    </w:r>
    <w:r w:rsidR="00FC2F44">
      <w:rPr>
        <w:color w:val="auto"/>
      </w:rPr>
      <w:t>1R2429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B68E8" w14:textId="19280AFA" w:rsidR="003C764C" w:rsidRDefault="0081368A">
    <w:pPr>
      <w:pStyle w:val="Header"/>
    </w:pPr>
    <w:r>
      <w:rPr>
        <w:color w:val="auto"/>
      </w:rPr>
      <w:tab/>
    </w:r>
    <w:r w:rsidR="00D05A5B">
      <w:rPr>
        <w:color w:val="aut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9D"/>
    <w:rsid w:val="00002112"/>
    <w:rsid w:val="0000526A"/>
    <w:rsid w:val="00055548"/>
    <w:rsid w:val="00085D22"/>
    <w:rsid w:val="000C5C77"/>
    <w:rsid w:val="0010070F"/>
    <w:rsid w:val="0015112E"/>
    <w:rsid w:val="001552E7"/>
    <w:rsid w:val="001566B4"/>
    <w:rsid w:val="00175B38"/>
    <w:rsid w:val="001C279E"/>
    <w:rsid w:val="001D459E"/>
    <w:rsid w:val="0027011C"/>
    <w:rsid w:val="00274200"/>
    <w:rsid w:val="00275740"/>
    <w:rsid w:val="002A0269"/>
    <w:rsid w:val="002C35E5"/>
    <w:rsid w:val="002E5068"/>
    <w:rsid w:val="00301F44"/>
    <w:rsid w:val="00303684"/>
    <w:rsid w:val="003143F5"/>
    <w:rsid w:val="00314854"/>
    <w:rsid w:val="0031672C"/>
    <w:rsid w:val="003C3DF9"/>
    <w:rsid w:val="003C51CD"/>
    <w:rsid w:val="003C764C"/>
    <w:rsid w:val="00405F30"/>
    <w:rsid w:val="0042455F"/>
    <w:rsid w:val="004247A2"/>
    <w:rsid w:val="004B2795"/>
    <w:rsid w:val="004C13DD"/>
    <w:rsid w:val="004C2787"/>
    <w:rsid w:val="004E3441"/>
    <w:rsid w:val="00501F31"/>
    <w:rsid w:val="00534950"/>
    <w:rsid w:val="00571DC3"/>
    <w:rsid w:val="005A239A"/>
    <w:rsid w:val="005A3A4E"/>
    <w:rsid w:val="005A5366"/>
    <w:rsid w:val="005E40BF"/>
    <w:rsid w:val="00637E73"/>
    <w:rsid w:val="0065298B"/>
    <w:rsid w:val="00670A5F"/>
    <w:rsid w:val="00673C05"/>
    <w:rsid w:val="006865E9"/>
    <w:rsid w:val="00691F3E"/>
    <w:rsid w:val="00694BFB"/>
    <w:rsid w:val="006A106B"/>
    <w:rsid w:val="006C523D"/>
    <w:rsid w:val="006D4036"/>
    <w:rsid w:val="006D6B88"/>
    <w:rsid w:val="00757095"/>
    <w:rsid w:val="007E02CF"/>
    <w:rsid w:val="007F1CF5"/>
    <w:rsid w:val="0080184C"/>
    <w:rsid w:val="008076B4"/>
    <w:rsid w:val="0081249D"/>
    <w:rsid w:val="0081368A"/>
    <w:rsid w:val="00834EDE"/>
    <w:rsid w:val="008736AA"/>
    <w:rsid w:val="008D275D"/>
    <w:rsid w:val="00937EFE"/>
    <w:rsid w:val="009743AE"/>
    <w:rsid w:val="00980327"/>
    <w:rsid w:val="009A75D0"/>
    <w:rsid w:val="009E2312"/>
    <w:rsid w:val="009F1067"/>
    <w:rsid w:val="00A31E01"/>
    <w:rsid w:val="00A35B03"/>
    <w:rsid w:val="00A527AD"/>
    <w:rsid w:val="00A718CF"/>
    <w:rsid w:val="00A72E7C"/>
    <w:rsid w:val="00A73BEE"/>
    <w:rsid w:val="00A74EB4"/>
    <w:rsid w:val="00AA0C00"/>
    <w:rsid w:val="00AC3B58"/>
    <w:rsid w:val="00AC63F0"/>
    <w:rsid w:val="00AE48A0"/>
    <w:rsid w:val="00AE61BE"/>
    <w:rsid w:val="00B10CE3"/>
    <w:rsid w:val="00B16F25"/>
    <w:rsid w:val="00B24422"/>
    <w:rsid w:val="00B71FA8"/>
    <w:rsid w:val="00B80C20"/>
    <w:rsid w:val="00B844FE"/>
    <w:rsid w:val="00B94CDF"/>
    <w:rsid w:val="00BB3327"/>
    <w:rsid w:val="00BC562B"/>
    <w:rsid w:val="00C33014"/>
    <w:rsid w:val="00C33434"/>
    <w:rsid w:val="00C34869"/>
    <w:rsid w:val="00C42EB6"/>
    <w:rsid w:val="00C82591"/>
    <w:rsid w:val="00C85096"/>
    <w:rsid w:val="00C90D08"/>
    <w:rsid w:val="00CB20EF"/>
    <w:rsid w:val="00CB287B"/>
    <w:rsid w:val="00CD12CB"/>
    <w:rsid w:val="00CD36CF"/>
    <w:rsid w:val="00CD3F81"/>
    <w:rsid w:val="00CF1DCA"/>
    <w:rsid w:val="00D05A5B"/>
    <w:rsid w:val="00D46A20"/>
    <w:rsid w:val="00D579FC"/>
    <w:rsid w:val="00D6572F"/>
    <w:rsid w:val="00DC1E17"/>
    <w:rsid w:val="00DE526B"/>
    <w:rsid w:val="00DF199D"/>
    <w:rsid w:val="00DF4120"/>
    <w:rsid w:val="00E01542"/>
    <w:rsid w:val="00E365F1"/>
    <w:rsid w:val="00E62F48"/>
    <w:rsid w:val="00E63935"/>
    <w:rsid w:val="00E7443E"/>
    <w:rsid w:val="00E831B3"/>
    <w:rsid w:val="00EB203E"/>
    <w:rsid w:val="00EB775A"/>
    <w:rsid w:val="00EE70CB"/>
    <w:rsid w:val="00EF6030"/>
    <w:rsid w:val="00F23775"/>
    <w:rsid w:val="00F41CA2"/>
    <w:rsid w:val="00F443C0"/>
    <w:rsid w:val="00F62EFB"/>
    <w:rsid w:val="00F9003E"/>
    <w:rsid w:val="00F939A4"/>
    <w:rsid w:val="00FA7B09"/>
    <w:rsid w:val="00FC2F44"/>
    <w:rsid w:val="00FE067E"/>
    <w:rsid w:val="00FE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7DC5DCD2"/>
  <w15:chartTrackingRefBased/>
  <w15:docId w15:val="{5AD3CA16-FDAA-4FF6-99A4-533AD823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link w:val="ReferencesChar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D46A20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5A3A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A4E"/>
    <w:rPr>
      <w:rFonts w:ascii="Segoe UI" w:hAnsi="Segoe UI" w:cs="Segoe UI"/>
      <w:sz w:val="18"/>
      <w:szCs w:val="18"/>
    </w:rPr>
  </w:style>
  <w:style w:type="character" w:customStyle="1" w:styleId="ReferencesChar">
    <w:name w:val="References Char"/>
    <w:basedOn w:val="DefaultParagraphFont"/>
    <w:link w:val="References"/>
    <w:rsid w:val="00757095"/>
    <w:rPr>
      <w:rFonts w:eastAsia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9E8A4F4356F4687A0FDCAD12E1A5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2AF6A-365C-411A-BA95-7B33E957E88C}"/>
      </w:docPartPr>
      <w:docPartBody>
        <w:p w:rsidR="00E92EAA" w:rsidRDefault="001B0082">
          <w:pPr>
            <w:pStyle w:val="89E8A4F4356F4687A0FDCAD12E1A5E92"/>
          </w:pPr>
          <w:r w:rsidRPr="00B844FE">
            <w:t>[Type here]</w:t>
          </w:r>
        </w:p>
      </w:docPartBody>
    </w:docPart>
    <w:docPart>
      <w:docPartPr>
        <w:name w:val="98156DEB7509442D8ABFEA7101818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579D4-F80C-4DDD-9297-342F311F4564}"/>
      </w:docPartPr>
      <w:docPartBody>
        <w:p w:rsidR="00E92EAA" w:rsidRDefault="009F2BF3" w:rsidP="009F2BF3">
          <w:pPr>
            <w:pStyle w:val="98156DEB7509442D8ABFEA7101818C191"/>
          </w:pPr>
          <w:r w:rsidRPr="00D6572F">
            <w:rPr>
              <w:color w:val="auto"/>
            </w:rPr>
            <w:t>Number</w:t>
          </w:r>
        </w:p>
      </w:docPartBody>
    </w:docPart>
    <w:docPart>
      <w:docPartPr>
        <w:name w:val="447A63E125A74F31885990F4B818F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42E2C-92C4-4B43-9165-41A6A932653B}"/>
      </w:docPartPr>
      <w:docPartBody>
        <w:p w:rsidR="00E56353" w:rsidRDefault="009B333A" w:rsidP="009B333A">
          <w:pPr>
            <w:pStyle w:val="447A63E125A74F31885990F4B818F4B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1AB4C8E95DAA448D8864AF27BBD15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551F3-2C1B-4DDC-BF58-BFDDF661F86B}"/>
      </w:docPartPr>
      <w:docPartBody>
        <w:p w:rsidR="00E56353" w:rsidRDefault="009B333A" w:rsidP="009B333A">
          <w:pPr>
            <w:pStyle w:val="1AB4C8E95DAA448D8864AF27BBD15213"/>
          </w:pPr>
          <w:r w:rsidRPr="00B844FE">
            <w:t>Prefix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082"/>
    <w:rsid w:val="001B0082"/>
    <w:rsid w:val="00980A88"/>
    <w:rsid w:val="009B333A"/>
    <w:rsid w:val="009F2BF3"/>
    <w:rsid w:val="00E56353"/>
    <w:rsid w:val="00E9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E8A4F4356F4687A0FDCAD12E1A5E92">
    <w:name w:val="89E8A4F4356F4687A0FDCAD12E1A5E92"/>
  </w:style>
  <w:style w:type="character" w:styleId="PlaceholderText">
    <w:name w:val="Placeholder Text"/>
    <w:basedOn w:val="DefaultParagraphFont"/>
    <w:uiPriority w:val="99"/>
    <w:semiHidden/>
    <w:rsid w:val="009F2BF3"/>
    <w:rPr>
      <w:color w:val="808080"/>
    </w:rPr>
  </w:style>
  <w:style w:type="paragraph" w:customStyle="1" w:styleId="447A63E125A74F31885990F4B818F4BC">
    <w:name w:val="447A63E125A74F31885990F4B818F4BC"/>
    <w:rsid w:val="009B333A"/>
  </w:style>
  <w:style w:type="paragraph" w:customStyle="1" w:styleId="1AB4C8E95DAA448D8864AF27BBD15213">
    <w:name w:val="1AB4C8E95DAA448D8864AF27BBD15213"/>
    <w:rsid w:val="009B333A"/>
  </w:style>
  <w:style w:type="paragraph" w:customStyle="1" w:styleId="98156DEB7509442D8ABFEA7101818C191">
    <w:name w:val="98156DEB7509442D8ABFEA7101818C191"/>
    <w:rsid w:val="009F2BF3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7264E-777F-47A5-8F62-939AF9B3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1123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Xris Hess</cp:lastModifiedBy>
  <cp:revision>10</cp:revision>
  <cp:lastPrinted>2021-03-01T20:09:00Z</cp:lastPrinted>
  <dcterms:created xsi:type="dcterms:W3CDTF">2021-02-13T17:29:00Z</dcterms:created>
  <dcterms:modified xsi:type="dcterms:W3CDTF">2021-03-01T20:09:00Z</dcterms:modified>
</cp:coreProperties>
</file>